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8D" w:rsidRPr="00830AF4" w:rsidRDefault="002B308D" w:rsidP="002B308D">
      <w:pPr>
        <w:rPr>
          <w:b/>
        </w:rPr>
      </w:pPr>
      <w:r w:rsidRPr="00830AF4">
        <w:rPr>
          <w:b/>
        </w:rPr>
        <w:t xml:space="preserve">AP Language </w:t>
      </w:r>
      <w:r>
        <w:rPr>
          <w:b/>
        </w:rPr>
        <w:tab/>
      </w:r>
      <w:r>
        <w:rPr>
          <w:b/>
        </w:rPr>
        <w:tab/>
      </w:r>
      <w:r w:rsidRPr="00830AF4">
        <w:rPr>
          <w:b/>
        </w:rPr>
        <w:t>Readings</w:t>
      </w:r>
      <w:r>
        <w:rPr>
          <w:b/>
        </w:rPr>
        <w:t xml:space="preserve"> from </w:t>
      </w:r>
      <w:r w:rsidRPr="00207246">
        <w:rPr>
          <w:b/>
          <w:i/>
        </w:rPr>
        <w:t>Patterns</w:t>
      </w:r>
      <w:r>
        <w:rPr>
          <w:b/>
          <w:i/>
        </w:rPr>
        <w:t xml:space="preserve"> for College Writing</w:t>
      </w:r>
    </w:p>
    <w:p w:rsidR="002B308D" w:rsidRDefault="005062F9" w:rsidP="002B308D">
      <w:r>
        <w:rPr>
          <w:b/>
        </w:rPr>
        <w:t xml:space="preserve">This Week’s </w:t>
      </w:r>
      <w:r w:rsidR="002B308D" w:rsidRPr="00830AF4">
        <w:rPr>
          <w:b/>
        </w:rPr>
        <w:t>Theme:</w:t>
      </w:r>
      <w:r w:rsidR="002B308D">
        <w:t xml:space="preserve">  </w:t>
      </w:r>
      <w:r w:rsidR="00461BB6">
        <w:t>Business and Work</w:t>
      </w:r>
    </w:p>
    <w:p w:rsidR="002B308D" w:rsidRDefault="002B308D" w:rsidP="002B308D">
      <w:pPr>
        <w:pStyle w:val="PlainText"/>
        <w:rPr>
          <w:rFonts w:ascii="Times New Roman" w:hAnsi="Times New Roman" w:cs="Times New Roman"/>
          <w:b/>
        </w:rPr>
      </w:pPr>
    </w:p>
    <w:p w:rsidR="002B308D" w:rsidRDefault="002B308D" w:rsidP="002B308D">
      <w:r w:rsidRPr="00830AF4">
        <w:rPr>
          <w:b/>
        </w:rPr>
        <w:t>Required:</w:t>
      </w:r>
      <w:r>
        <w:t xml:space="preserve"> </w:t>
      </w:r>
    </w:p>
    <w:p w:rsidR="00376563" w:rsidRPr="00B657F0" w:rsidRDefault="005062F9" w:rsidP="00376563">
      <w:pPr>
        <w:pStyle w:val="PlainText"/>
        <w:spacing w:line="360" w:lineRule="auto"/>
        <w:rPr>
          <w:rFonts w:ascii="Times New Roman" w:hAnsi="Times New Roman" w:cs="Times New Roman"/>
        </w:rPr>
      </w:pPr>
      <w:r>
        <w:rPr>
          <w:rFonts w:ascii="Times New Roman" w:hAnsi="Times New Roman" w:cs="Times New Roman"/>
        </w:rPr>
        <w:t>George Orwell</w:t>
      </w:r>
      <w:r w:rsidR="00461BB6">
        <w:rPr>
          <w:rFonts w:ascii="Times New Roman" w:hAnsi="Times New Roman" w:cs="Times New Roman"/>
        </w:rPr>
        <w:t xml:space="preserve">, </w:t>
      </w:r>
      <w:r w:rsidR="00461BB6" w:rsidRPr="005062F9">
        <w:rPr>
          <w:rFonts w:ascii="Times New Roman" w:hAnsi="Times New Roman" w:cs="Times New Roman"/>
          <w:i/>
        </w:rPr>
        <w:t>Shooting an Elephant</w:t>
      </w:r>
      <w:r w:rsidR="00461BB6">
        <w:rPr>
          <w:rFonts w:ascii="Times New Roman" w:hAnsi="Times New Roman" w:cs="Times New Roman"/>
        </w:rPr>
        <w:t xml:space="preserve"> </w:t>
      </w:r>
      <w:r>
        <w:rPr>
          <w:rFonts w:ascii="Times New Roman" w:hAnsi="Times New Roman" w:cs="Times New Roman"/>
        </w:rPr>
        <w:t xml:space="preserve">p. </w:t>
      </w:r>
      <w:r w:rsidR="00461BB6">
        <w:rPr>
          <w:rFonts w:ascii="Times New Roman" w:hAnsi="Times New Roman" w:cs="Times New Roman"/>
        </w:rPr>
        <w:t>126</w:t>
      </w:r>
    </w:p>
    <w:p w:rsidR="002B308D" w:rsidRPr="0008055F" w:rsidRDefault="0008055F" w:rsidP="002B308D">
      <w:r w:rsidRPr="0008055F">
        <w:t xml:space="preserve">Argument Essay: </w:t>
      </w:r>
      <w:r>
        <w:t>In paragraph 7, Orwell observes that “when the white man turns tyrant it is his own freedom that he destroys,” and that “He wears a mask, and his face grows to fit it.”  Consider the implications of these statements concerning human nature.  Write an essay in which you support, refute, or qualify Orwell’s paradox and metaphor.  Refer to your reading, knowledge, or experience to support your argument.</w:t>
      </w:r>
    </w:p>
    <w:p w:rsidR="008A6CBE" w:rsidRDefault="008A6CBE" w:rsidP="00E92EB5">
      <w:pPr>
        <w:pStyle w:val="NoSpacing"/>
        <w:rPr>
          <w:b/>
        </w:rPr>
      </w:pPr>
    </w:p>
    <w:p w:rsidR="002B308D" w:rsidRPr="00E92EB5" w:rsidRDefault="002B308D" w:rsidP="00E92EB5">
      <w:pPr>
        <w:pStyle w:val="NoSpacing"/>
        <w:rPr>
          <w:b/>
        </w:rPr>
      </w:pPr>
      <w:r w:rsidRPr="00E92EB5">
        <w:rPr>
          <w:b/>
        </w:rPr>
        <w:t xml:space="preserve">Choose </w:t>
      </w:r>
      <w:r w:rsidR="00E92EB5" w:rsidRPr="00E92EB5">
        <w:rPr>
          <w:b/>
        </w:rPr>
        <w:t>1</w:t>
      </w:r>
      <w:r w:rsidRPr="00E92EB5">
        <w:rPr>
          <w:b/>
        </w:rPr>
        <w:t>:</w:t>
      </w:r>
    </w:p>
    <w:p w:rsidR="0014607E" w:rsidRDefault="005062F9" w:rsidP="00E92EB5">
      <w:pPr>
        <w:pStyle w:val="NoSpacing"/>
      </w:pPr>
      <w:r>
        <w:t>Bonnie Smith-</w:t>
      </w:r>
      <w:proofErr w:type="spellStart"/>
      <w:r>
        <w:t>Yackel</w:t>
      </w:r>
      <w:proofErr w:type="spellEnd"/>
      <w:r>
        <w:t xml:space="preserve">, </w:t>
      </w:r>
      <w:r w:rsidRPr="005062F9">
        <w:rPr>
          <w:i/>
        </w:rPr>
        <w:t>My Mother Never Worked</w:t>
      </w:r>
      <w:r>
        <w:t xml:space="preserve"> </w:t>
      </w:r>
      <w:r w:rsidR="0008055F">
        <w:rPr>
          <w:rFonts w:cs="Times New Roman"/>
        </w:rPr>
        <w:t xml:space="preserve">p. </w:t>
      </w:r>
      <w:r>
        <w:t>114</w:t>
      </w:r>
    </w:p>
    <w:p w:rsidR="00461BB6" w:rsidRDefault="005062F9" w:rsidP="00E92EB5">
      <w:pPr>
        <w:pStyle w:val="NoSpacing"/>
      </w:pPr>
      <w:r>
        <w:t xml:space="preserve">Laurence J. Peter and Raymond Hull, </w:t>
      </w:r>
      <w:proofErr w:type="gramStart"/>
      <w:r w:rsidRPr="005062F9">
        <w:rPr>
          <w:i/>
        </w:rPr>
        <w:t>The</w:t>
      </w:r>
      <w:proofErr w:type="gramEnd"/>
      <w:r w:rsidRPr="005062F9">
        <w:rPr>
          <w:i/>
        </w:rPr>
        <w:t xml:space="preserve"> Peter Principle</w:t>
      </w:r>
      <w:r>
        <w:t xml:space="preserve"> </w:t>
      </w:r>
      <w:r w:rsidR="0008055F">
        <w:rPr>
          <w:rFonts w:cs="Times New Roman"/>
        </w:rPr>
        <w:t xml:space="preserve">p. </w:t>
      </w:r>
      <w:r>
        <w:t>216</w:t>
      </w:r>
    </w:p>
    <w:p w:rsidR="00461BB6" w:rsidRDefault="005062F9" w:rsidP="00E92EB5">
      <w:pPr>
        <w:pStyle w:val="NoSpacing"/>
      </w:pPr>
      <w:r>
        <w:t xml:space="preserve">Stanley Fish, </w:t>
      </w:r>
      <w:r w:rsidRPr="005062F9">
        <w:rPr>
          <w:i/>
        </w:rPr>
        <w:t>Getting Coffee Is Hard To Do</w:t>
      </w:r>
      <w:r>
        <w:t xml:space="preserve"> </w:t>
      </w:r>
      <w:r w:rsidR="0008055F">
        <w:rPr>
          <w:rFonts w:cs="Times New Roman"/>
        </w:rPr>
        <w:t xml:space="preserve">p. </w:t>
      </w:r>
      <w:r>
        <w:t>287</w:t>
      </w:r>
    </w:p>
    <w:p w:rsidR="00E92EB5" w:rsidRDefault="00E92EB5" w:rsidP="0008055F">
      <w:pPr>
        <w:pStyle w:val="PlainText"/>
        <w:rPr>
          <w:rFonts w:ascii="Times New Roman" w:hAnsi="Times New Roman" w:cs="Times New Roman"/>
        </w:rPr>
      </w:pPr>
    </w:p>
    <w:p w:rsidR="008A6CBE" w:rsidRPr="00B24672" w:rsidRDefault="008A6CBE" w:rsidP="008A6CBE">
      <w:pPr>
        <w:pStyle w:val="PlainText"/>
        <w:rPr>
          <w:rFonts w:ascii="Times New Roman" w:hAnsi="Times New Roman" w:cs="Times New Roman"/>
        </w:rPr>
      </w:pPr>
      <w:r w:rsidRPr="00B24672">
        <w:rPr>
          <w:rFonts w:ascii="Times New Roman" w:hAnsi="Times New Roman" w:cs="Times New Roman"/>
        </w:rPr>
        <w:t xml:space="preserve">For </w:t>
      </w:r>
      <w:r>
        <w:rPr>
          <w:rFonts w:ascii="Times New Roman" w:hAnsi="Times New Roman" w:cs="Times New Roman"/>
        </w:rPr>
        <w:t>the</w:t>
      </w:r>
      <w:r w:rsidRPr="00B24672">
        <w:rPr>
          <w:rFonts w:ascii="Times New Roman" w:hAnsi="Times New Roman" w:cs="Times New Roman"/>
        </w:rPr>
        <w:t xml:space="preserve"> </w:t>
      </w:r>
      <w:r>
        <w:rPr>
          <w:rFonts w:ascii="Times New Roman" w:hAnsi="Times New Roman" w:cs="Times New Roman"/>
        </w:rPr>
        <w:t xml:space="preserve">choice </w:t>
      </w:r>
      <w:r w:rsidRPr="00B24672">
        <w:rPr>
          <w:rFonts w:ascii="Times New Roman" w:hAnsi="Times New Roman" w:cs="Times New Roman"/>
        </w:rPr>
        <w:t>essay</w:t>
      </w:r>
      <w:r>
        <w:rPr>
          <w:rFonts w:ascii="Times New Roman" w:hAnsi="Times New Roman" w:cs="Times New Roman"/>
        </w:rPr>
        <w:t>,</w:t>
      </w:r>
      <w:r w:rsidRPr="00B24672">
        <w:rPr>
          <w:rFonts w:ascii="Times New Roman" w:hAnsi="Times New Roman" w:cs="Times New Roman"/>
        </w:rPr>
        <w:t xml:space="preserve"> you must </w:t>
      </w:r>
      <w:r w:rsidRPr="00B24672">
        <w:rPr>
          <w:rFonts w:ascii="Times New Roman" w:hAnsi="Times New Roman" w:cs="Times New Roman"/>
          <w:u w:val="single"/>
        </w:rPr>
        <w:t>briefly</w:t>
      </w:r>
      <w:r w:rsidRPr="00B24672">
        <w:rPr>
          <w:rFonts w:ascii="Times New Roman" w:hAnsi="Times New Roman" w:cs="Times New Roman"/>
        </w:rPr>
        <w:t xml:space="preserve"> answer the following questions:</w:t>
      </w:r>
    </w:p>
    <w:p w:rsidR="008A6CBE" w:rsidRPr="00B24672" w:rsidRDefault="008A6CBE" w:rsidP="008A6CBE">
      <w:pPr>
        <w:pStyle w:val="PlainText"/>
        <w:numPr>
          <w:ilvl w:val="0"/>
          <w:numId w:val="1"/>
        </w:numPr>
        <w:rPr>
          <w:rFonts w:ascii="Times New Roman" w:hAnsi="Times New Roman" w:cs="Times New Roman"/>
        </w:rPr>
      </w:pPr>
      <w:r>
        <w:rPr>
          <w:rFonts w:ascii="Times New Roman" w:hAnsi="Times New Roman" w:cs="Times New Roman"/>
        </w:rPr>
        <w:t xml:space="preserve">Analyze the text using </w:t>
      </w:r>
      <w:proofErr w:type="spellStart"/>
      <w:r>
        <w:rPr>
          <w:rFonts w:ascii="Times New Roman" w:hAnsi="Times New Roman" w:cs="Times New Roman"/>
        </w:rPr>
        <w:t>SOAPSTone</w:t>
      </w:r>
      <w:proofErr w:type="spellEnd"/>
      <w:r>
        <w:rPr>
          <w:rFonts w:ascii="Times New Roman" w:hAnsi="Times New Roman" w:cs="Times New Roman"/>
        </w:rPr>
        <w:t>.</w:t>
      </w:r>
    </w:p>
    <w:p w:rsidR="008A6CBE" w:rsidRPr="00B24672" w:rsidRDefault="008A6CBE" w:rsidP="008A6CBE">
      <w:pPr>
        <w:pStyle w:val="PlainText"/>
        <w:numPr>
          <w:ilvl w:val="0"/>
          <w:numId w:val="1"/>
        </w:numPr>
        <w:rPr>
          <w:rFonts w:ascii="Times New Roman" w:hAnsi="Times New Roman" w:cs="Times New Roman"/>
        </w:rPr>
      </w:pPr>
      <w:r>
        <w:rPr>
          <w:rFonts w:ascii="Times New Roman" w:hAnsi="Times New Roman" w:cs="Times New Roman"/>
        </w:rPr>
        <w:t>Write a thesis statement for a prompt that asks you to analyze</w:t>
      </w:r>
      <w:r w:rsidRPr="00B24672">
        <w:rPr>
          <w:rFonts w:ascii="Times New Roman" w:hAnsi="Times New Roman" w:cs="Times New Roman"/>
        </w:rPr>
        <w:t xml:space="preserve"> the strategies </w:t>
      </w:r>
      <w:r>
        <w:rPr>
          <w:rFonts w:ascii="Times New Roman" w:hAnsi="Times New Roman" w:cs="Times New Roman"/>
        </w:rPr>
        <w:t>the author uses to achieve the p</w:t>
      </w:r>
      <w:r w:rsidRPr="00B24672">
        <w:rPr>
          <w:rFonts w:ascii="Times New Roman" w:hAnsi="Times New Roman" w:cs="Times New Roman"/>
        </w:rPr>
        <w:t>urpose.</w:t>
      </w:r>
    </w:p>
    <w:p w:rsidR="008A6CBE" w:rsidRPr="00B24672" w:rsidRDefault="008A6CBE" w:rsidP="008A6CBE">
      <w:pPr>
        <w:pStyle w:val="PlainText"/>
        <w:numPr>
          <w:ilvl w:val="0"/>
          <w:numId w:val="1"/>
        </w:numPr>
        <w:rPr>
          <w:rFonts w:ascii="Times New Roman" w:hAnsi="Times New Roman" w:cs="Times New Roman"/>
        </w:rPr>
      </w:pPr>
      <w:r>
        <w:rPr>
          <w:rFonts w:ascii="Times New Roman" w:hAnsi="Times New Roman" w:cs="Times New Roman"/>
        </w:rPr>
        <w:t>Write a theme statement that combines ideas from both the required and choice texts.</w:t>
      </w:r>
    </w:p>
    <w:p w:rsidR="008A6CBE" w:rsidRDefault="008A6CBE" w:rsidP="008A6CBE">
      <w:pPr>
        <w:pStyle w:val="PlainText"/>
        <w:rPr>
          <w:rFonts w:ascii="Times New Roman" w:hAnsi="Times New Roman" w:cs="Times New Roman"/>
          <w:b/>
          <w:u w:val="single"/>
        </w:rPr>
      </w:pPr>
    </w:p>
    <w:p w:rsidR="008A6CBE" w:rsidRDefault="008A6CBE" w:rsidP="008A6CBE">
      <w:pPr>
        <w:pStyle w:val="PlainText"/>
        <w:rPr>
          <w:rFonts w:ascii="Times New Roman" w:hAnsi="Times New Roman" w:cs="Times New Roman"/>
          <w:b/>
        </w:rPr>
      </w:pPr>
    </w:p>
    <w:p w:rsidR="008A6CBE" w:rsidRDefault="008A6CBE" w:rsidP="008A6CBE">
      <w:pPr>
        <w:pStyle w:val="PlainText"/>
        <w:rPr>
          <w:rFonts w:ascii="Times New Roman" w:hAnsi="Times New Roman" w:cs="Times New Roman"/>
          <w:b/>
        </w:rPr>
      </w:pPr>
      <w:r>
        <w:rPr>
          <w:rFonts w:ascii="Times New Roman" w:hAnsi="Times New Roman" w:cs="Times New Roman"/>
          <w:b/>
        </w:rPr>
        <w:t xml:space="preserve">DO NOT place your name on the response.   </w:t>
      </w:r>
    </w:p>
    <w:p w:rsidR="008A6CBE" w:rsidRDefault="008A6CBE" w:rsidP="008A6CBE">
      <w:pPr>
        <w:pStyle w:val="PlainText"/>
        <w:rPr>
          <w:rFonts w:ascii="Times New Roman" w:hAnsi="Times New Roman" w:cs="Times New Roman"/>
          <w:b/>
        </w:rPr>
      </w:pPr>
    </w:p>
    <w:p w:rsidR="008A6CBE" w:rsidRDefault="008A6CBE" w:rsidP="008A6CBE">
      <w:pPr>
        <w:pStyle w:val="PlainText"/>
        <w:rPr>
          <w:rFonts w:ascii="Times New Roman" w:hAnsi="Times New Roman" w:cs="Times New Roman"/>
          <w:b/>
        </w:rPr>
      </w:pPr>
      <w:r>
        <w:rPr>
          <w:rFonts w:ascii="Times New Roman" w:hAnsi="Times New Roman" w:cs="Times New Roman"/>
          <w:b/>
        </w:rPr>
        <w:t>Paper assignment due to Turnitin.com on Thursday, ________________.</w:t>
      </w:r>
    </w:p>
    <w:p w:rsidR="008A6CBE" w:rsidRDefault="008A6CBE" w:rsidP="008A6CBE">
      <w:pPr>
        <w:pStyle w:val="PlainText"/>
        <w:rPr>
          <w:rFonts w:ascii="Times New Roman" w:hAnsi="Times New Roman" w:cs="Times New Roman"/>
          <w:b/>
        </w:rPr>
      </w:pPr>
    </w:p>
    <w:p w:rsidR="008A6CBE" w:rsidRDefault="008A6CBE" w:rsidP="008A6CBE">
      <w:pPr>
        <w:pStyle w:val="PlainText"/>
        <w:rPr>
          <w:rFonts w:ascii="Times New Roman" w:hAnsi="Times New Roman" w:cs="Times New Roman"/>
          <w:b/>
        </w:rPr>
      </w:pPr>
      <w:r>
        <w:rPr>
          <w:rFonts w:ascii="Times New Roman" w:hAnsi="Times New Roman" w:cs="Times New Roman"/>
          <w:b/>
        </w:rPr>
        <w:t xml:space="preserve">Review a peer’s essay for a </w:t>
      </w:r>
      <w:proofErr w:type="spellStart"/>
      <w:r>
        <w:rPr>
          <w:rFonts w:ascii="Times New Roman" w:hAnsi="Times New Roman" w:cs="Times New Roman"/>
          <w:b/>
        </w:rPr>
        <w:t>peermark</w:t>
      </w:r>
      <w:proofErr w:type="spellEnd"/>
      <w:r>
        <w:rPr>
          <w:rFonts w:ascii="Times New Roman" w:hAnsi="Times New Roman" w:cs="Times New Roman"/>
          <w:b/>
        </w:rPr>
        <w:t xml:space="preserve"> assignment due in Turnitin.com on Tuesday, ____________.</w:t>
      </w:r>
    </w:p>
    <w:p w:rsidR="008A6CBE" w:rsidRDefault="008A6CBE" w:rsidP="008A6CBE">
      <w:pPr>
        <w:pStyle w:val="PlainText"/>
        <w:rPr>
          <w:rFonts w:ascii="Times New Roman" w:hAnsi="Times New Roman" w:cs="Times New Roman"/>
          <w:b/>
        </w:rPr>
      </w:pPr>
    </w:p>
    <w:p w:rsidR="008A6CBE" w:rsidRDefault="008A6CBE" w:rsidP="008A6CBE">
      <w:pPr>
        <w:pStyle w:val="PlainText"/>
        <w:rPr>
          <w:rFonts w:ascii="Times New Roman" w:hAnsi="Times New Roman" w:cs="Times New Roman"/>
          <w:b/>
        </w:rPr>
      </w:pPr>
      <w:r>
        <w:rPr>
          <w:rFonts w:ascii="Times New Roman" w:hAnsi="Times New Roman" w:cs="Times New Roman"/>
          <w:b/>
        </w:rPr>
        <w:t>Revised essay due to Turnitin.com on Friday, ________________.</w:t>
      </w:r>
    </w:p>
    <w:p w:rsidR="008A6CBE" w:rsidRDefault="008A6CBE" w:rsidP="0008055F">
      <w:pPr>
        <w:pStyle w:val="PlainText"/>
        <w:rPr>
          <w:rFonts w:ascii="Times New Roman" w:hAnsi="Times New Roman" w:cs="Times New Roman"/>
          <w:b/>
        </w:rPr>
      </w:pPr>
    </w:p>
    <w:p w:rsidR="0008055F" w:rsidRPr="00EC4DEA" w:rsidRDefault="0008055F" w:rsidP="0008055F">
      <w:pPr>
        <w:pStyle w:val="PlainText"/>
        <w:rPr>
          <w:rFonts w:ascii="Times New Roman" w:hAnsi="Times New Roman" w:cs="Times New Roman"/>
          <w:b/>
        </w:rPr>
      </w:pPr>
      <w:r>
        <w:rPr>
          <w:rFonts w:ascii="Times New Roman" w:hAnsi="Times New Roman" w:cs="Times New Roman"/>
          <w:b/>
        </w:rPr>
        <w:t xml:space="preserve">Multiple Choice over </w:t>
      </w:r>
      <w:r>
        <w:rPr>
          <w:rFonts w:ascii="Times New Roman" w:hAnsi="Times New Roman" w:cs="Times New Roman"/>
          <w:b/>
          <w:i/>
        </w:rPr>
        <w:t>Shooting an Elephant</w:t>
      </w:r>
      <w:r>
        <w:rPr>
          <w:rFonts w:ascii="Times New Roman" w:hAnsi="Times New Roman" w:cs="Times New Roman"/>
          <w:b/>
        </w:rPr>
        <w:t xml:space="preserve"> on Friday, _________________.</w:t>
      </w:r>
    </w:p>
    <w:p w:rsidR="0008055F" w:rsidRDefault="0008055F" w:rsidP="0008055F">
      <w:pPr>
        <w:pStyle w:val="NoSpacing"/>
      </w:pPr>
      <w:r>
        <w:t>You will want to be familiar with the following terms found on the MC test:</w:t>
      </w:r>
    </w:p>
    <w:p w:rsidR="0008055F" w:rsidRDefault="0008055F" w:rsidP="0008055F">
      <w:pPr>
        <w:pStyle w:val="NoSpacing"/>
        <w:ind w:left="720"/>
        <w:sectPr w:rsidR="0008055F">
          <w:pgSz w:w="12240" w:h="15840"/>
          <w:pgMar w:top="1440" w:right="1440" w:bottom="1440" w:left="1440" w:header="720" w:footer="720" w:gutter="0"/>
          <w:cols w:space="720"/>
          <w:docGrid w:linePitch="360"/>
        </w:sectPr>
      </w:pPr>
    </w:p>
    <w:p w:rsidR="0008055F" w:rsidRDefault="0008055F" w:rsidP="0008055F">
      <w:pPr>
        <w:pStyle w:val="NoSpacing"/>
        <w:ind w:left="720"/>
      </w:pPr>
      <w:r w:rsidRPr="0008055F">
        <w:t>Ambivalence</w:t>
      </w:r>
    </w:p>
    <w:p w:rsidR="0008055F" w:rsidRDefault="0008055F" w:rsidP="0008055F">
      <w:pPr>
        <w:pStyle w:val="NoSpacing"/>
        <w:ind w:left="720"/>
      </w:pPr>
      <w:r>
        <w:t>Antipathy</w:t>
      </w:r>
    </w:p>
    <w:p w:rsidR="0008055F" w:rsidRDefault="0008055F" w:rsidP="0008055F">
      <w:pPr>
        <w:pStyle w:val="NoSpacing"/>
        <w:ind w:left="720"/>
      </w:pPr>
      <w:r>
        <w:t>Devotion</w:t>
      </w:r>
    </w:p>
    <w:p w:rsidR="0008055F" w:rsidRDefault="0008055F" w:rsidP="0008055F">
      <w:pPr>
        <w:pStyle w:val="NoSpacing"/>
        <w:ind w:left="720"/>
      </w:pPr>
      <w:r>
        <w:t>Indifference</w:t>
      </w:r>
    </w:p>
    <w:p w:rsidR="0008055F" w:rsidRDefault="0008055F" w:rsidP="0008055F">
      <w:pPr>
        <w:pStyle w:val="NoSpacing"/>
        <w:ind w:left="720"/>
      </w:pPr>
      <w:r>
        <w:t>Trivial</w:t>
      </w:r>
    </w:p>
    <w:p w:rsidR="0008055F" w:rsidRDefault="0008055F" w:rsidP="0008055F">
      <w:pPr>
        <w:pStyle w:val="NoSpacing"/>
        <w:ind w:left="720"/>
      </w:pPr>
      <w:r>
        <w:t>Salutary</w:t>
      </w:r>
    </w:p>
    <w:p w:rsidR="0008055F" w:rsidRDefault="0008055F" w:rsidP="0008055F">
      <w:pPr>
        <w:pStyle w:val="NoSpacing"/>
        <w:ind w:left="720"/>
      </w:pPr>
      <w:r>
        <w:t>Colloquial</w:t>
      </w:r>
    </w:p>
    <w:p w:rsidR="0008055F" w:rsidRDefault="0008055F" w:rsidP="0008055F">
      <w:pPr>
        <w:pStyle w:val="NoSpacing"/>
        <w:ind w:left="720"/>
      </w:pPr>
      <w:r>
        <w:t>Tone</w:t>
      </w:r>
    </w:p>
    <w:p w:rsidR="0008055F" w:rsidRDefault="0008055F" w:rsidP="0008055F">
      <w:pPr>
        <w:pStyle w:val="NoSpacing"/>
        <w:ind w:left="720"/>
      </w:pPr>
      <w:r>
        <w:t>Polemical</w:t>
      </w:r>
    </w:p>
    <w:p w:rsidR="0008055F" w:rsidRDefault="0008055F" w:rsidP="0008055F">
      <w:pPr>
        <w:pStyle w:val="NoSpacing"/>
        <w:ind w:left="720"/>
      </w:pPr>
      <w:r>
        <w:t>Didactic</w:t>
      </w:r>
    </w:p>
    <w:p w:rsidR="0008055F" w:rsidRDefault="0008055F" w:rsidP="0008055F">
      <w:pPr>
        <w:pStyle w:val="NoSpacing"/>
        <w:ind w:left="720"/>
      </w:pPr>
      <w:r>
        <w:t>Lugubrious</w:t>
      </w:r>
    </w:p>
    <w:p w:rsidR="0008055F" w:rsidRDefault="0008055F" w:rsidP="0008055F">
      <w:pPr>
        <w:pStyle w:val="NoSpacing"/>
        <w:ind w:left="720"/>
      </w:pPr>
      <w:r>
        <w:t>Candid</w:t>
      </w:r>
    </w:p>
    <w:p w:rsidR="0008055F" w:rsidRDefault="0008055F" w:rsidP="0008055F">
      <w:pPr>
        <w:pStyle w:val="NoSpacing"/>
        <w:ind w:left="720"/>
      </w:pPr>
      <w:r>
        <w:t>Reflective</w:t>
      </w:r>
    </w:p>
    <w:p w:rsidR="0008055F" w:rsidRDefault="0008055F" w:rsidP="0008055F">
      <w:pPr>
        <w:pStyle w:val="NoSpacing"/>
        <w:ind w:left="720"/>
      </w:pPr>
      <w:r>
        <w:t>Authoritative</w:t>
      </w:r>
    </w:p>
    <w:p w:rsidR="0008055F" w:rsidRDefault="0008055F" w:rsidP="0008055F">
      <w:pPr>
        <w:pStyle w:val="NoSpacing"/>
        <w:ind w:left="720"/>
      </w:pPr>
      <w:r>
        <w:t>Fact</w:t>
      </w:r>
    </w:p>
    <w:p w:rsidR="0008055F" w:rsidRDefault="0008055F" w:rsidP="0008055F">
      <w:pPr>
        <w:pStyle w:val="NoSpacing"/>
        <w:ind w:left="720"/>
      </w:pPr>
      <w:r>
        <w:t>Warrant</w:t>
      </w:r>
    </w:p>
    <w:p w:rsidR="0008055F" w:rsidRDefault="0008055F" w:rsidP="0008055F">
      <w:pPr>
        <w:pStyle w:val="NoSpacing"/>
        <w:ind w:left="720"/>
      </w:pPr>
      <w:r>
        <w:t>Claim</w:t>
      </w:r>
    </w:p>
    <w:p w:rsidR="0008055F" w:rsidRDefault="0008055F" w:rsidP="0008055F">
      <w:pPr>
        <w:pStyle w:val="NoSpacing"/>
        <w:ind w:left="720"/>
      </w:pPr>
      <w:r>
        <w:t>Qualifier</w:t>
      </w:r>
    </w:p>
    <w:p w:rsidR="0008055F" w:rsidRDefault="0008055F" w:rsidP="0008055F">
      <w:pPr>
        <w:pStyle w:val="NoSpacing"/>
        <w:ind w:left="720"/>
      </w:pPr>
      <w:r>
        <w:t>Rebuttal</w:t>
      </w:r>
    </w:p>
    <w:p w:rsidR="0008055F" w:rsidRDefault="0008055F" w:rsidP="0008055F">
      <w:pPr>
        <w:pStyle w:val="NoSpacing"/>
        <w:ind w:left="720"/>
      </w:pPr>
      <w:r>
        <w:t>Periodic sentence</w:t>
      </w:r>
    </w:p>
    <w:p w:rsidR="0008055F" w:rsidRDefault="0008055F" w:rsidP="0008055F">
      <w:pPr>
        <w:pStyle w:val="NoSpacing"/>
        <w:ind w:left="720"/>
      </w:pPr>
      <w:r>
        <w:t>Parallel structure</w:t>
      </w:r>
    </w:p>
    <w:p w:rsidR="0008055F" w:rsidRDefault="0008055F" w:rsidP="0008055F">
      <w:pPr>
        <w:pStyle w:val="NoSpacing"/>
        <w:ind w:left="720"/>
        <w:sectPr w:rsidR="0008055F" w:rsidSect="0008055F">
          <w:type w:val="continuous"/>
          <w:pgSz w:w="12240" w:h="15840"/>
          <w:pgMar w:top="1440" w:right="1440" w:bottom="1440" w:left="1440" w:header="720" w:footer="720" w:gutter="0"/>
          <w:cols w:num="2" w:space="720"/>
          <w:docGrid w:linePitch="360"/>
        </w:sectPr>
      </w:pPr>
      <w:r>
        <w:t>Extended metaphor</w:t>
      </w:r>
    </w:p>
    <w:p w:rsidR="0008055F" w:rsidRDefault="0008055F" w:rsidP="0008055F">
      <w:pPr>
        <w:pStyle w:val="NoSpacing"/>
        <w:ind w:left="720"/>
      </w:pPr>
    </w:p>
    <w:p w:rsidR="00E92EB5" w:rsidRDefault="00E92EB5">
      <w:pPr>
        <w:rPr>
          <w:b/>
          <w:bCs/>
        </w:rPr>
      </w:pPr>
      <w:r>
        <w:rPr>
          <w:b/>
          <w:bCs/>
        </w:rPr>
        <w:br w:type="page"/>
      </w:r>
    </w:p>
    <w:p w:rsidR="008A6CBE" w:rsidRDefault="008A6CBE" w:rsidP="008A6CBE">
      <w:pPr>
        <w:autoSpaceDE w:val="0"/>
        <w:autoSpaceDN w:val="0"/>
        <w:adjustRightInd w:val="0"/>
        <w:rPr>
          <w:b/>
          <w:bCs/>
        </w:rPr>
      </w:pPr>
      <w:r>
        <w:rPr>
          <w:b/>
          <w:bCs/>
        </w:rPr>
        <w:lastRenderedPageBreak/>
        <w:t>AP Language     Thematic Readings Rubric</w:t>
      </w:r>
    </w:p>
    <w:p w:rsidR="008A6CBE" w:rsidRDefault="008A6CBE" w:rsidP="008A6CBE">
      <w:pPr>
        <w:autoSpaceDE w:val="0"/>
        <w:autoSpaceDN w:val="0"/>
        <w:adjustRightInd w:val="0"/>
        <w:rPr>
          <w:b/>
          <w:bCs/>
        </w:rPr>
      </w:pPr>
      <w:r>
        <w:rPr>
          <w:b/>
          <w:bCs/>
        </w:rPr>
        <w:t>NAME ___________________________________________________________</w:t>
      </w:r>
    </w:p>
    <w:p w:rsidR="008A6CBE" w:rsidRDefault="008A6CBE" w:rsidP="008A6CBE">
      <w:pPr>
        <w:autoSpaceDE w:val="0"/>
        <w:autoSpaceDN w:val="0"/>
        <w:adjustRightInd w:val="0"/>
        <w:rPr>
          <w:b/>
          <w:bCs/>
        </w:rPr>
      </w:pPr>
      <w:r>
        <w:rPr>
          <w:b/>
          <w:bCs/>
        </w:rPr>
        <w:t>Theme _________________________________________</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1016"/>
        <w:gridCol w:w="5421"/>
        <w:gridCol w:w="1166"/>
        <w:gridCol w:w="882"/>
        <w:gridCol w:w="1091"/>
      </w:tblGrid>
      <w:tr w:rsidR="008A6CBE" w:rsidTr="003E1CFF">
        <w:tc>
          <w:tcPr>
            <w:tcW w:w="1016" w:type="dxa"/>
            <w:tcBorders>
              <w:top w:val="single" w:sz="4" w:space="0" w:color="auto"/>
              <w:left w:val="single" w:sz="4" w:space="0" w:color="auto"/>
              <w:bottom w:val="single" w:sz="4" w:space="0" w:color="auto"/>
              <w:right w:val="single" w:sz="4" w:space="0" w:color="auto"/>
            </w:tcBorders>
          </w:tcPr>
          <w:p w:rsidR="008A6CBE" w:rsidRDefault="008A6CBE" w:rsidP="003E1CFF">
            <w:pPr>
              <w:autoSpaceDE w:val="0"/>
              <w:autoSpaceDN w:val="0"/>
              <w:adjustRightInd w:val="0"/>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Standard</w:t>
            </w:r>
          </w:p>
        </w:tc>
        <w:tc>
          <w:tcPr>
            <w:tcW w:w="1174" w:type="dxa"/>
            <w:tcBorders>
              <w:top w:val="single" w:sz="4" w:space="0" w:color="auto"/>
              <w:left w:val="single" w:sz="4" w:space="0" w:color="auto"/>
              <w:bottom w:val="single" w:sz="4" w:space="0" w:color="auto"/>
              <w:right w:val="single" w:sz="4" w:space="0" w:color="auto"/>
            </w:tcBorders>
            <w:hideMark/>
          </w:tcPr>
          <w:p w:rsidR="008A6CBE" w:rsidRDefault="008A6CBE" w:rsidP="003E1CFF">
            <w:pPr>
              <w:jc w:val="center"/>
              <w:rPr>
                <w:b/>
                <w:sz w:val="24"/>
              </w:rPr>
            </w:pPr>
            <w:r>
              <w:rPr>
                <w:b/>
              </w:rPr>
              <w:t>2</w:t>
            </w:r>
          </w:p>
          <w:p w:rsidR="008A6CBE" w:rsidRDefault="008A6CBE" w:rsidP="003E1CFF">
            <w:pPr>
              <w:jc w:val="center"/>
              <w:rPr>
                <w:b/>
              </w:rPr>
            </w:pPr>
            <w:r>
              <w:rPr>
                <w:b/>
              </w:rPr>
              <w:t>Emerging</w:t>
            </w:r>
          </w:p>
        </w:tc>
        <w:tc>
          <w:tcPr>
            <w:tcW w:w="923" w:type="dxa"/>
            <w:tcBorders>
              <w:top w:val="single" w:sz="4" w:space="0" w:color="auto"/>
              <w:left w:val="single" w:sz="4" w:space="0" w:color="auto"/>
              <w:bottom w:val="single" w:sz="4" w:space="0" w:color="auto"/>
              <w:right w:val="single" w:sz="4" w:space="0" w:color="auto"/>
            </w:tcBorders>
            <w:hideMark/>
          </w:tcPr>
          <w:p w:rsidR="008A6CBE" w:rsidRDefault="008A6CBE" w:rsidP="003E1CFF">
            <w:pPr>
              <w:jc w:val="center"/>
              <w:rPr>
                <w:b/>
              </w:rPr>
            </w:pPr>
            <w:r>
              <w:rPr>
                <w:b/>
              </w:rPr>
              <w:t>4</w:t>
            </w:r>
          </w:p>
          <w:p w:rsidR="008A6CBE" w:rsidRDefault="008A6CBE" w:rsidP="003E1CFF">
            <w:pPr>
              <w:jc w:val="center"/>
              <w:rPr>
                <w:b/>
              </w:rPr>
            </w:pPr>
            <w:r>
              <w:rPr>
                <w:b/>
              </w:rPr>
              <w:t>Meets</w:t>
            </w:r>
          </w:p>
        </w:tc>
        <w:tc>
          <w:tcPr>
            <w:tcW w:w="1136" w:type="dxa"/>
            <w:tcBorders>
              <w:top w:val="single" w:sz="4" w:space="0" w:color="auto"/>
              <w:left w:val="single" w:sz="4" w:space="0" w:color="auto"/>
              <w:bottom w:val="single" w:sz="4" w:space="0" w:color="auto"/>
              <w:right w:val="single" w:sz="4" w:space="0" w:color="auto"/>
            </w:tcBorders>
            <w:hideMark/>
          </w:tcPr>
          <w:p w:rsidR="008A6CBE" w:rsidRDefault="008A6CBE" w:rsidP="003E1CFF">
            <w:pPr>
              <w:jc w:val="center"/>
              <w:rPr>
                <w:b/>
              </w:rPr>
            </w:pPr>
            <w:r>
              <w:rPr>
                <w:b/>
              </w:rPr>
              <w:t>5</w:t>
            </w:r>
          </w:p>
          <w:p w:rsidR="008A6CBE" w:rsidRDefault="008A6CBE" w:rsidP="003E1CFF">
            <w:pPr>
              <w:jc w:val="center"/>
              <w:rPr>
                <w:b/>
              </w:rPr>
            </w:pPr>
            <w:r>
              <w:rPr>
                <w:b/>
              </w:rPr>
              <w:t>Exceeds</w:t>
            </w:r>
          </w:p>
        </w:tc>
      </w:tr>
      <w:tr w:rsidR="008A6CBE" w:rsidTr="003E1CFF">
        <w:tc>
          <w:tcPr>
            <w:tcW w:w="1016" w:type="dxa"/>
            <w:vMerge w:val="restart"/>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Required</w:t>
            </w:r>
          </w:p>
          <w:p w:rsidR="008A6CBE" w:rsidRDefault="008A6CBE" w:rsidP="003E1CFF">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INTERPRETATION OF PROMPT AND/OR PASSAGE</w:t>
            </w:r>
          </w:p>
          <w:p w:rsidR="008A6CBE" w:rsidRDefault="008A6CBE" w:rsidP="003E1CFF">
            <w:pPr>
              <w:pStyle w:val="ListParagraph"/>
              <w:numPr>
                <w:ilvl w:val="0"/>
                <w:numId w:val="2"/>
              </w:numPr>
              <w:autoSpaceDE w:val="0"/>
              <w:autoSpaceDN w:val="0"/>
              <w:adjustRightInd w:val="0"/>
              <w:rPr>
                <w:sz w:val="20"/>
              </w:rPr>
            </w:pPr>
            <w:r>
              <w:rPr>
                <w:b/>
                <w:bCs/>
                <w:sz w:val="20"/>
              </w:rPr>
              <w:t>CBAPELC</w:t>
            </w:r>
            <w:r>
              <w:rPr>
                <w:b/>
                <w:sz w:val="20"/>
              </w:rPr>
              <w:t xml:space="preserve"> LO1</w:t>
            </w:r>
            <w:r>
              <w:rPr>
                <w:sz w:val="20"/>
              </w:rPr>
              <w:t xml:space="preserve">—analyze and interpret samples of good writing, </w:t>
            </w:r>
            <w:r>
              <w:rPr>
                <w:b/>
                <w:sz w:val="20"/>
              </w:rPr>
              <w:t>identifying and explaining</w:t>
            </w:r>
            <w:r>
              <w:rPr>
                <w:sz w:val="20"/>
              </w:rPr>
              <w:t xml:space="preserve"> an author’s use of </w:t>
            </w:r>
            <w:r>
              <w:rPr>
                <w:b/>
                <w:sz w:val="20"/>
              </w:rPr>
              <w:t>rhetorical strategies and techniques</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REASONS AND EVIDENCE</w:t>
            </w:r>
          </w:p>
          <w:p w:rsidR="008A6CBE" w:rsidRDefault="008A6CBE" w:rsidP="003E1CFF">
            <w:pPr>
              <w:pStyle w:val="ListParagraph"/>
              <w:numPr>
                <w:ilvl w:val="0"/>
                <w:numId w:val="2"/>
              </w:numPr>
              <w:autoSpaceDE w:val="0"/>
              <w:autoSpaceDN w:val="0"/>
              <w:adjustRightInd w:val="0"/>
              <w:rPr>
                <w:sz w:val="20"/>
              </w:rPr>
            </w:pPr>
            <w:r>
              <w:rPr>
                <w:b/>
                <w:bCs/>
                <w:sz w:val="20"/>
              </w:rPr>
              <w:t>CBAPELC</w:t>
            </w:r>
            <w:r>
              <w:rPr>
                <w:b/>
                <w:sz w:val="20"/>
              </w:rPr>
              <w:t xml:space="preserve"> LO3</w:t>
            </w:r>
            <w:r>
              <w:rPr>
                <w:sz w:val="20"/>
              </w:rPr>
              <w:t>—</w:t>
            </w:r>
            <w:r>
              <w:rPr>
                <w:b/>
                <w:sz w:val="20"/>
              </w:rPr>
              <w:t>create and sustain arguments</w:t>
            </w:r>
            <w:r>
              <w:rPr>
                <w:sz w:val="20"/>
              </w:rPr>
              <w:t xml:space="preserve"> based on readings, research, and/or personal experience</w:t>
            </w:r>
          </w:p>
          <w:p w:rsidR="008A6CBE" w:rsidRDefault="008A6CBE" w:rsidP="003E1CFF">
            <w:pPr>
              <w:pStyle w:val="ListParagraph"/>
              <w:numPr>
                <w:ilvl w:val="0"/>
                <w:numId w:val="2"/>
              </w:numPr>
              <w:autoSpaceDE w:val="0"/>
              <w:autoSpaceDN w:val="0"/>
              <w:adjustRightInd w:val="0"/>
              <w:rPr>
                <w:sz w:val="20"/>
              </w:rPr>
            </w:pPr>
            <w:r>
              <w:rPr>
                <w:b/>
                <w:bCs/>
                <w:sz w:val="20"/>
              </w:rPr>
              <w:t>CBAPELC</w:t>
            </w:r>
            <w:r>
              <w:rPr>
                <w:b/>
                <w:sz w:val="20"/>
              </w:rPr>
              <w:t xml:space="preserve"> S4</w:t>
            </w:r>
            <w:r>
              <w:rPr>
                <w:sz w:val="20"/>
              </w:rPr>
              <w:t xml:space="preserve">—A balance of generalization and specific, illustrative </w:t>
            </w:r>
            <w:r>
              <w:rPr>
                <w:b/>
                <w:sz w:val="20"/>
              </w:rPr>
              <w:t>detail</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ORGANIZATION</w:t>
            </w:r>
          </w:p>
          <w:p w:rsidR="008A6CBE" w:rsidRDefault="008A6CBE" w:rsidP="003E1CFF">
            <w:pPr>
              <w:pStyle w:val="ListParagraph"/>
              <w:numPr>
                <w:ilvl w:val="0"/>
                <w:numId w:val="3"/>
              </w:numPr>
              <w:autoSpaceDE w:val="0"/>
              <w:autoSpaceDN w:val="0"/>
              <w:adjustRightInd w:val="0"/>
              <w:rPr>
                <w:sz w:val="20"/>
              </w:rPr>
            </w:pPr>
            <w:r>
              <w:rPr>
                <w:b/>
                <w:bCs/>
                <w:sz w:val="20"/>
              </w:rPr>
              <w:t>CBAPELC</w:t>
            </w:r>
            <w:r>
              <w:rPr>
                <w:b/>
                <w:sz w:val="20"/>
              </w:rPr>
              <w:t xml:space="preserve"> S3</w:t>
            </w:r>
            <w:r>
              <w:rPr>
                <w:sz w:val="20"/>
              </w:rPr>
              <w:t xml:space="preserve">—Logical </w:t>
            </w:r>
            <w:r>
              <w:rPr>
                <w:b/>
                <w:sz w:val="20"/>
              </w:rPr>
              <w:t>organization</w:t>
            </w:r>
            <w:r>
              <w:rPr>
                <w:sz w:val="20"/>
              </w:rPr>
              <w:t xml:space="preserve">, enhanced by specific techniques to increase </w:t>
            </w:r>
            <w:r>
              <w:rPr>
                <w:b/>
                <w:sz w:val="20"/>
              </w:rPr>
              <w:t>coherence</w:t>
            </w:r>
            <w:r>
              <w:rPr>
                <w:sz w:val="20"/>
              </w:rPr>
              <w:t>, such as repetition, transitions, and emphasis</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RHETORICAL DEVICES AND MATURE STYLE</w:t>
            </w:r>
          </w:p>
          <w:p w:rsidR="008A6CBE" w:rsidRDefault="008A6CBE" w:rsidP="003E1CFF">
            <w:pPr>
              <w:autoSpaceDE w:val="0"/>
              <w:autoSpaceDN w:val="0"/>
              <w:adjustRightInd w:val="0"/>
              <w:jc w:val="center"/>
              <w:rPr>
                <w:b/>
                <w:sz w:val="20"/>
              </w:rPr>
            </w:pPr>
            <w:r>
              <w:rPr>
                <w:b/>
                <w:bCs/>
                <w:sz w:val="20"/>
              </w:rPr>
              <w:t>At least 1 device underlined &amp; labeled.</w:t>
            </w:r>
            <w:r>
              <w:rPr>
                <w:b/>
                <w:sz w:val="20"/>
              </w:rPr>
              <w:t xml:space="preserve"> </w:t>
            </w:r>
          </w:p>
          <w:p w:rsidR="008A6CBE" w:rsidRDefault="008A6CBE" w:rsidP="003E1CFF">
            <w:pPr>
              <w:autoSpaceDE w:val="0"/>
              <w:autoSpaceDN w:val="0"/>
              <w:adjustRightInd w:val="0"/>
              <w:jc w:val="center"/>
              <w:rPr>
                <w:b/>
                <w:bCs/>
                <w:sz w:val="20"/>
              </w:rPr>
            </w:pPr>
            <w:r>
              <w:rPr>
                <w:b/>
                <w:sz w:val="20"/>
              </w:rPr>
              <w:t>Limited “to be” verbs and boring diction.</w:t>
            </w:r>
          </w:p>
          <w:p w:rsidR="008A6CBE" w:rsidRDefault="008A6CBE" w:rsidP="003E1CFF">
            <w:pPr>
              <w:pStyle w:val="ListParagraph"/>
              <w:numPr>
                <w:ilvl w:val="0"/>
                <w:numId w:val="3"/>
              </w:numPr>
              <w:autoSpaceDE w:val="0"/>
              <w:autoSpaceDN w:val="0"/>
              <w:adjustRightInd w:val="0"/>
              <w:rPr>
                <w:sz w:val="20"/>
              </w:rPr>
            </w:pPr>
            <w:r>
              <w:rPr>
                <w:b/>
                <w:bCs/>
                <w:sz w:val="20"/>
              </w:rPr>
              <w:t>CBAPELC</w:t>
            </w:r>
            <w:r>
              <w:rPr>
                <w:b/>
                <w:sz w:val="20"/>
              </w:rPr>
              <w:t xml:space="preserve"> S5</w:t>
            </w:r>
            <w:r>
              <w:rPr>
                <w:sz w:val="20"/>
              </w:rPr>
              <w:t xml:space="preserve">—An effective use of </w:t>
            </w:r>
            <w:r>
              <w:rPr>
                <w:b/>
                <w:sz w:val="20"/>
              </w:rPr>
              <w:t>rhetoric</w:t>
            </w:r>
            <w:r>
              <w:rPr>
                <w:sz w:val="20"/>
              </w:rPr>
              <w:t xml:space="preserve">, including controlling </w:t>
            </w:r>
            <w:r>
              <w:rPr>
                <w:b/>
                <w:sz w:val="20"/>
              </w:rPr>
              <w:t>tone</w:t>
            </w:r>
            <w:r>
              <w:rPr>
                <w:sz w:val="20"/>
              </w:rPr>
              <w:t xml:space="preserve">, establishing and maintaining </w:t>
            </w:r>
            <w:r>
              <w:rPr>
                <w:b/>
                <w:sz w:val="20"/>
              </w:rPr>
              <w:t>voice</w:t>
            </w:r>
            <w:r>
              <w:rPr>
                <w:sz w:val="20"/>
              </w:rPr>
              <w:t>, and achieving appropriate emphasis through diction and sentence structure</w:t>
            </w:r>
          </w:p>
          <w:p w:rsidR="008A6CBE" w:rsidRDefault="008A6CBE" w:rsidP="003E1CFF">
            <w:pPr>
              <w:pStyle w:val="ListParagraph"/>
              <w:numPr>
                <w:ilvl w:val="0"/>
                <w:numId w:val="3"/>
              </w:numPr>
              <w:autoSpaceDE w:val="0"/>
              <w:autoSpaceDN w:val="0"/>
              <w:adjustRightInd w:val="0"/>
              <w:rPr>
                <w:sz w:val="20"/>
              </w:rPr>
            </w:pPr>
            <w:r>
              <w:rPr>
                <w:b/>
                <w:bCs/>
                <w:sz w:val="20"/>
              </w:rPr>
              <w:t>CBAPELC</w:t>
            </w:r>
            <w:r>
              <w:rPr>
                <w:b/>
                <w:sz w:val="20"/>
              </w:rPr>
              <w:t xml:space="preserve"> LO2</w:t>
            </w:r>
            <w:r>
              <w:rPr>
                <w:sz w:val="20"/>
              </w:rPr>
              <w:t xml:space="preserve">—apply effective </w:t>
            </w:r>
            <w:r>
              <w:rPr>
                <w:b/>
                <w:sz w:val="20"/>
              </w:rPr>
              <w:t>strategies</w:t>
            </w:r>
            <w:r>
              <w:rPr>
                <w:sz w:val="20"/>
              </w:rPr>
              <w:t xml:space="preserve"> and techniques in their own writing</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GRAMMAR AND USAGE</w:t>
            </w:r>
          </w:p>
          <w:p w:rsidR="008A6CBE" w:rsidRDefault="008A6CBE" w:rsidP="003E1CFF">
            <w:pPr>
              <w:pStyle w:val="ListParagraph"/>
              <w:numPr>
                <w:ilvl w:val="0"/>
                <w:numId w:val="4"/>
              </w:numPr>
              <w:autoSpaceDE w:val="0"/>
              <w:autoSpaceDN w:val="0"/>
              <w:adjustRightInd w:val="0"/>
              <w:rPr>
                <w:sz w:val="20"/>
              </w:rPr>
            </w:pPr>
            <w:r>
              <w:rPr>
                <w:b/>
                <w:bCs/>
                <w:sz w:val="20"/>
              </w:rPr>
              <w:t>CBAPELC</w:t>
            </w:r>
            <w:r>
              <w:rPr>
                <w:b/>
                <w:sz w:val="20"/>
              </w:rPr>
              <w:t xml:space="preserve"> LO6</w:t>
            </w:r>
            <w:r>
              <w:rPr>
                <w:sz w:val="20"/>
              </w:rPr>
              <w:t xml:space="preserve">—demonstrate understanding and mastery of </w:t>
            </w:r>
            <w:r>
              <w:rPr>
                <w:b/>
                <w:sz w:val="20"/>
              </w:rPr>
              <w:t>standard written English</w:t>
            </w:r>
            <w:r>
              <w:rPr>
                <w:sz w:val="20"/>
              </w:rPr>
              <w:t xml:space="preserve"> as well as stylistic maturity in their own writings</w:t>
            </w:r>
          </w:p>
          <w:p w:rsidR="008A6CBE" w:rsidRDefault="008A6CBE" w:rsidP="003E1CFF">
            <w:pPr>
              <w:pStyle w:val="ListParagraph"/>
              <w:numPr>
                <w:ilvl w:val="0"/>
                <w:numId w:val="4"/>
              </w:numPr>
              <w:autoSpaceDE w:val="0"/>
              <w:autoSpaceDN w:val="0"/>
              <w:adjustRightInd w:val="0"/>
              <w:rPr>
                <w:sz w:val="20"/>
              </w:rPr>
            </w:pPr>
            <w:r>
              <w:rPr>
                <w:b/>
                <w:bCs/>
                <w:sz w:val="20"/>
              </w:rPr>
              <w:t>CBAPELC</w:t>
            </w:r>
            <w:r>
              <w:rPr>
                <w:b/>
                <w:sz w:val="20"/>
              </w:rPr>
              <w:t xml:space="preserve"> S2</w:t>
            </w:r>
            <w:r>
              <w:rPr>
                <w:sz w:val="20"/>
              </w:rPr>
              <w:t>—</w:t>
            </w:r>
            <w:proofErr w:type="gramStart"/>
            <w:r>
              <w:rPr>
                <w:sz w:val="20"/>
              </w:rPr>
              <w:t>A</w:t>
            </w:r>
            <w:proofErr w:type="gramEnd"/>
            <w:r>
              <w:rPr>
                <w:sz w:val="20"/>
              </w:rPr>
              <w:t xml:space="preserve"> variety of </w:t>
            </w:r>
            <w:r>
              <w:rPr>
                <w:b/>
                <w:sz w:val="20"/>
              </w:rPr>
              <w:t>sentence structures</w:t>
            </w:r>
            <w:r>
              <w:rPr>
                <w:sz w:val="20"/>
              </w:rPr>
              <w:t>, including appropriate use of subordination and coordination.</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VOCABULARY INCORPORATION</w:t>
            </w:r>
          </w:p>
          <w:p w:rsidR="008A6CBE" w:rsidRDefault="008A6CBE" w:rsidP="003E1CFF">
            <w:pPr>
              <w:autoSpaceDE w:val="0"/>
              <w:autoSpaceDN w:val="0"/>
              <w:adjustRightInd w:val="0"/>
              <w:jc w:val="center"/>
              <w:rPr>
                <w:b/>
                <w:bCs/>
                <w:sz w:val="20"/>
              </w:rPr>
            </w:pPr>
            <w:r>
              <w:rPr>
                <w:b/>
                <w:bCs/>
                <w:sz w:val="20"/>
              </w:rPr>
              <w:t>At least 1 v</w:t>
            </w:r>
            <w:r w:rsidRPr="00817A81">
              <w:rPr>
                <w:b/>
                <w:bCs/>
                <w:sz w:val="20"/>
              </w:rPr>
              <w:t>ocabulary</w:t>
            </w:r>
            <w:r>
              <w:rPr>
                <w:b/>
                <w:bCs/>
                <w:i/>
                <w:sz w:val="20"/>
              </w:rPr>
              <w:t xml:space="preserve"> </w:t>
            </w:r>
            <w:r>
              <w:rPr>
                <w:b/>
                <w:bCs/>
                <w:sz w:val="20"/>
              </w:rPr>
              <w:t>word underlined.</w:t>
            </w:r>
          </w:p>
          <w:p w:rsidR="008A6CBE" w:rsidRDefault="008A6CBE" w:rsidP="003E1CFF">
            <w:pPr>
              <w:pStyle w:val="ListParagraph"/>
              <w:numPr>
                <w:ilvl w:val="0"/>
                <w:numId w:val="5"/>
              </w:numPr>
              <w:autoSpaceDE w:val="0"/>
              <w:autoSpaceDN w:val="0"/>
              <w:adjustRightInd w:val="0"/>
              <w:rPr>
                <w:b/>
                <w:bCs/>
                <w:sz w:val="20"/>
              </w:rPr>
            </w:pPr>
            <w:r>
              <w:rPr>
                <w:b/>
                <w:bCs/>
                <w:sz w:val="20"/>
              </w:rPr>
              <w:t>CBAPELC</w:t>
            </w:r>
            <w:r>
              <w:rPr>
                <w:b/>
                <w:sz w:val="20"/>
              </w:rPr>
              <w:t xml:space="preserve"> S1</w:t>
            </w:r>
            <w:r>
              <w:rPr>
                <w:sz w:val="20"/>
              </w:rPr>
              <w:t xml:space="preserve">—A wide-ranging </w:t>
            </w:r>
            <w:r>
              <w:rPr>
                <w:b/>
                <w:sz w:val="20"/>
              </w:rPr>
              <w:t>vocabulary</w:t>
            </w:r>
            <w:r>
              <w:rPr>
                <w:sz w:val="20"/>
              </w:rPr>
              <w:t xml:space="preserve"> used appropriately and effectively</w:t>
            </w:r>
            <w:r>
              <w:rPr>
                <w:b/>
                <w:bCs/>
                <w:sz w:val="20"/>
              </w:rPr>
              <w:t xml:space="preserve"> </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QUOTATION LEAD-INS AND CITATION</w:t>
            </w:r>
          </w:p>
          <w:p w:rsidR="008A6CBE" w:rsidRDefault="008A6CBE" w:rsidP="003E1CFF">
            <w:pPr>
              <w:pStyle w:val="ListParagraph"/>
              <w:numPr>
                <w:ilvl w:val="0"/>
                <w:numId w:val="5"/>
              </w:numPr>
              <w:autoSpaceDE w:val="0"/>
              <w:autoSpaceDN w:val="0"/>
              <w:adjustRightInd w:val="0"/>
              <w:rPr>
                <w:sz w:val="20"/>
              </w:rPr>
            </w:pPr>
            <w:r>
              <w:rPr>
                <w:b/>
                <w:bCs/>
                <w:sz w:val="20"/>
              </w:rPr>
              <w:t>CBAPELC</w:t>
            </w:r>
            <w:r>
              <w:rPr>
                <w:b/>
                <w:sz w:val="20"/>
              </w:rPr>
              <w:t xml:space="preserve"> LO7</w:t>
            </w:r>
            <w:r>
              <w:rPr>
                <w:sz w:val="20"/>
              </w:rPr>
              <w:t xml:space="preserve">—demonstrate understanding of the conventions of </w:t>
            </w:r>
            <w:r>
              <w:rPr>
                <w:b/>
                <w:sz w:val="20"/>
              </w:rPr>
              <w:t>citing primary and secondary sources</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1016" w:type="dxa"/>
            <w:vMerge w:val="restart"/>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 xml:space="preserve">Choice </w:t>
            </w:r>
          </w:p>
          <w:p w:rsidR="008A6CBE" w:rsidRDefault="008A6CBE" w:rsidP="003E1CFF">
            <w:pPr>
              <w:autoSpaceDE w:val="0"/>
              <w:autoSpaceDN w:val="0"/>
              <w:adjustRightInd w:val="0"/>
              <w:rPr>
                <w:b/>
                <w:bCs/>
                <w:sz w:val="20"/>
              </w:rPr>
            </w:pPr>
            <w:r>
              <w:rPr>
                <w:b/>
                <w:bCs/>
                <w:sz w:val="20"/>
              </w:rPr>
              <w:t>Text</w:t>
            </w: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RHETORICAL SITUATION</w:t>
            </w:r>
          </w:p>
          <w:p w:rsidR="008A6CBE" w:rsidRDefault="008A6CBE" w:rsidP="003E1CFF">
            <w:pPr>
              <w:pStyle w:val="ListParagraph"/>
              <w:numPr>
                <w:ilvl w:val="0"/>
                <w:numId w:val="5"/>
              </w:numPr>
              <w:autoSpaceDE w:val="0"/>
              <w:autoSpaceDN w:val="0"/>
              <w:adjustRightInd w:val="0"/>
              <w:rPr>
                <w:bCs/>
                <w:sz w:val="20"/>
              </w:rPr>
            </w:pPr>
            <w:r>
              <w:rPr>
                <w:bCs/>
                <w:sz w:val="20"/>
              </w:rPr>
              <w:t xml:space="preserve">Speaker, Occasion, Audience,  Purpose, Subject, Tone </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Pr>
                <w:b/>
                <w:bCs/>
                <w:sz w:val="20"/>
              </w:rPr>
              <w:t>THESIS STATEMENT on AUTHOR’S STRATEGIES</w:t>
            </w:r>
          </w:p>
          <w:p w:rsidR="008A6CBE" w:rsidRDefault="008A6CBE" w:rsidP="003E1CFF">
            <w:pPr>
              <w:pStyle w:val="ListParagraph"/>
              <w:numPr>
                <w:ilvl w:val="0"/>
                <w:numId w:val="5"/>
              </w:numPr>
              <w:autoSpaceDE w:val="0"/>
              <w:autoSpaceDN w:val="0"/>
              <w:adjustRightInd w:val="0"/>
              <w:rPr>
                <w:bCs/>
                <w:sz w:val="20"/>
              </w:rPr>
            </w:pPr>
            <w:r>
              <w:rPr>
                <w:bCs/>
                <w:sz w:val="20"/>
              </w:rPr>
              <w:t>Tropes, Schemes, Appeals</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r w:rsidR="008A6CBE" w:rsidTr="003E1CFF">
        <w:tc>
          <w:tcPr>
            <w:tcW w:w="0" w:type="auto"/>
            <w:vMerge/>
            <w:tcBorders>
              <w:top w:val="single" w:sz="4" w:space="0" w:color="auto"/>
              <w:left w:val="single" w:sz="4" w:space="0" w:color="auto"/>
              <w:bottom w:val="single" w:sz="4" w:space="0" w:color="auto"/>
              <w:right w:val="single" w:sz="4" w:space="0" w:color="auto"/>
            </w:tcBorders>
            <w:vAlign w:val="center"/>
            <w:hideMark/>
          </w:tcPr>
          <w:p w:rsidR="008A6CBE" w:rsidRDefault="008A6CBE" w:rsidP="003E1CFF">
            <w:pPr>
              <w:rPr>
                <w:b/>
                <w:bCs/>
                <w:sz w:val="20"/>
              </w:rPr>
            </w:pPr>
          </w:p>
        </w:tc>
        <w:tc>
          <w:tcPr>
            <w:tcW w:w="6652" w:type="dxa"/>
            <w:tcBorders>
              <w:top w:val="single" w:sz="4" w:space="0" w:color="auto"/>
              <w:left w:val="single" w:sz="4" w:space="0" w:color="auto"/>
              <w:bottom w:val="single" w:sz="4" w:space="0" w:color="auto"/>
              <w:right w:val="single" w:sz="4" w:space="0" w:color="auto"/>
            </w:tcBorders>
            <w:hideMark/>
          </w:tcPr>
          <w:p w:rsidR="008A6CBE" w:rsidRDefault="008A6CBE" w:rsidP="003E1CFF">
            <w:pPr>
              <w:autoSpaceDE w:val="0"/>
              <w:autoSpaceDN w:val="0"/>
              <w:adjustRightInd w:val="0"/>
              <w:rPr>
                <w:b/>
                <w:bCs/>
                <w:sz w:val="20"/>
              </w:rPr>
            </w:pPr>
            <w:r w:rsidRPr="00CF425E">
              <w:rPr>
                <w:b/>
                <w:bCs/>
                <w:sz w:val="20"/>
              </w:rPr>
              <w:t>THEME STATEMENT</w:t>
            </w:r>
          </w:p>
          <w:p w:rsidR="008A6CBE" w:rsidRPr="00CF425E" w:rsidRDefault="008A6CBE" w:rsidP="003E1CFF">
            <w:pPr>
              <w:pStyle w:val="ListParagraph"/>
              <w:numPr>
                <w:ilvl w:val="0"/>
                <w:numId w:val="5"/>
              </w:numPr>
              <w:autoSpaceDE w:val="0"/>
              <w:autoSpaceDN w:val="0"/>
              <w:adjustRightInd w:val="0"/>
              <w:rPr>
                <w:b/>
                <w:bCs/>
                <w:sz w:val="20"/>
              </w:rPr>
            </w:pPr>
            <w:r>
              <w:rPr>
                <w:bCs/>
                <w:sz w:val="20"/>
              </w:rPr>
              <w:t>Combines both readings</w:t>
            </w:r>
          </w:p>
        </w:tc>
        <w:tc>
          <w:tcPr>
            <w:tcW w:w="1174" w:type="dxa"/>
            <w:tcBorders>
              <w:top w:val="single" w:sz="4" w:space="0" w:color="auto"/>
              <w:left w:val="single" w:sz="4" w:space="0" w:color="auto"/>
              <w:bottom w:val="single" w:sz="4" w:space="0" w:color="auto"/>
              <w:right w:val="single" w:sz="4" w:space="0" w:color="auto"/>
            </w:tcBorders>
          </w:tcPr>
          <w:p w:rsidR="008A6CBE" w:rsidRDefault="008A6CBE" w:rsidP="003E1CFF">
            <w:pPr>
              <w:rPr>
                <w:sz w:val="24"/>
              </w:rPr>
            </w:pPr>
          </w:p>
        </w:tc>
        <w:tc>
          <w:tcPr>
            <w:tcW w:w="923" w:type="dxa"/>
            <w:tcBorders>
              <w:top w:val="single" w:sz="4" w:space="0" w:color="auto"/>
              <w:left w:val="single" w:sz="4" w:space="0" w:color="auto"/>
              <w:bottom w:val="single" w:sz="4" w:space="0" w:color="auto"/>
              <w:right w:val="single" w:sz="4" w:space="0" w:color="auto"/>
            </w:tcBorders>
          </w:tcPr>
          <w:p w:rsidR="008A6CBE" w:rsidRDefault="008A6CBE" w:rsidP="003E1CFF"/>
        </w:tc>
        <w:tc>
          <w:tcPr>
            <w:tcW w:w="1136" w:type="dxa"/>
            <w:tcBorders>
              <w:top w:val="single" w:sz="4" w:space="0" w:color="auto"/>
              <w:left w:val="single" w:sz="4" w:space="0" w:color="auto"/>
              <w:bottom w:val="single" w:sz="4" w:space="0" w:color="auto"/>
              <w:right w:val="single" w:sz="4" w:space="0" w:color="auto"/>
            </w:tcBorders>
          </w:tcPr>
          <w:p w:rsidR="008A6CBE" w:rsidRDefault="008A6CBE" w:rsidP="003E1CFF"/>
        </w:tc>
      </w:tr>
    </w:tbl>
    <w:p w:rsidR="008A6CBE" w:rsidRDefault="008A6CBE" w:rsidP="008A6CBE">
      <w:pPr>
        <w:autoSpaceDE w:val="0"/>
        <w:autoSpaceDN w:val="0"/>
        <w:adjustRightInd w:val="0"/>
        <w:rPr>
          <w:b/>
          <w:bCs/>
          <w:sz w:val="20"/>
        </w:rPr>
      </w:pPr>
      <w:r>
        <w:rPr>
          <w:b/>
          <w:bCs/>
          <w:sz w:val="20"/>
        </w:rPr>
        <w:tab/>
      </w:r>
    </w:p>
    <w:p w:rsidR="0008055F" w:rsidRPr="00AC429A" w:rsidRDefault="008A6CBE" w:rsidP="008A6CBE">
      <w:pPr>
        <w:autoSpaceDE w:val="0"/>
        <w:autoSpaceDN w:val="0"/>
        <w:adjustRightInd w:val="0"/>
        <w:ind w:left="7200"/>
        <w:rPr>
          <w:b/>
          <w:bCs/>
          <w:sz w:val="20"/>
        </w:rPr>
      </w:pPr>
      <w:r>
        <w:rPr>
          <w:b/>
          <w:bCs/>
          <w:sz w:val="20"/>
        </w:rPr>
        <w:t>Total _______ / 50</w:t>
      </w:r>
      <w:bookmarkStart w:id="0" w:name="_GoBack"/>
      <w:bookmarkEnd w:id="0"/>
    </w:p>
    <w:sectPr w:rsidR="0008055F" w:rsidRPr="00AC429A" w:rsidSect="000805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16A"/>
    <w:multiLevelType w:val="hybridMultilevel"/>
    <w:tmpl w:val="A946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813F32"/>
    <w:multiLevelType w:val="hybridMultilevel"/>
    <w:tmpl w:val="F46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2B559E"/>
    <w:multiLevelType w:val="hybridMultilevel"/>
    <w:tmpl w:val="CD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47545"/>
    <w:multiLevelType w:val="hybridMultilevel"/>
    <w:tmpl w:val="4430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30E3D"/>
    <w:multiLevelType w:val="hybridMultilevel"/>
    <w:tmpl w:val="FE7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8D"/>
    <w:rsid w:val="00002F35"/>
    <w:rsid w:val="00006E5C"/>
    <w:rsid w:val="000136A8"/>
    <w:rsid w:val="00015885"/>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46EDB"/>
    <w:rsid w:val="000511C8"/>
    <w:rsid w:val="000569E8"/>
    <w:rsid w:val="000572EA"/>
    <w:rsid w:val="0006422A"/>
    <w:rsid w:val="0007250B"/>
    <w:rsid w:val="000757F6"/>
    <w:rsid w:val="00075C9E"/>
    <w:rsid w:val="000778B4"/>
    <w:rsid w:val="00077DCB"/>
    <w:rsid w:val="00077EB7"/>
    <w:rsid w:val="0008055F"/>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F76C0"/>
    <w:rsid w:val="001019E8"/>
    <w:rsid w:val="00102DCE"/>
    <w:rsid w:val="00103923"/>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674D2"/>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08D"/>
    <w:rsid w:val="002B3F4C"/>
    <w:rsid w:val="002B651A"/>
    <w:rsid w:val="002B6CF7"/>
    <w:rsid w:val="002B6ECE"/>
    <w:rsid w:val="002B7FB2"/>
    <w:rsid w:val="002C0841"/>
    <w:rsid w:val="002C1E7D"/>
    <w:rsid w:val="002C4D6F"/>
    <w:rsid w:val="002E0952"/>
    <w:rsid w:val="002E3DD0"/>
    <w:rsid w:val="002E56B4"/>
    <w:rsid w:val="002E646E"/>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3E5"/>
    <w:rsid w:val="003706A7"/>
    <w:rsid w:val="003749EB"/>
    <w:rsid w:val="00376563"/>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BB6"/>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062F9"/>
    <w:rsid w:val="005101D6"/>
    <w:rsid w:val="005116FC"/>
    <w:rsid w:val="00513CC3"/>
    <w:rsid w:val="00515082"/>
    <w:rsid w:val="00515B04"/>
    <w:rsid w:val="00515BA8"/>
    <w:rsid w:val="005177B8"/>
    <w:rsid w:val="00522CEF"/>
    <w:rsid w:val="005245E4"/>
    <w:rsid w:val="0052617B"/>
    <w:rsid w:val="00535269"/>
    <w:rsid w:val="00543330"/>
    <w:rsid w:val="00544075"/>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19E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6CBE"/>
    <w:rsid w:val="008A7C54"/>
    <w:rsid w:val="008B1AD3"/>
    <w:rsid w:val="008B34A9"/>
    <w:rsid w:val="008B41AD"/>
    <w:rsid w:val="008B6210"/>
    <w:rsid w:val="008B7B6B"/>
    <w:rsid w:val="008C0775"/>
    <w:rsid w:val="008D4CC9"/>
    <w:rsid w:val="008E050D"/>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51FB"/>
    <w:rsid w:val="00A31F11"/>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429A"/>
    <w:rsid w:val="00AC60CA"/>
    <w:rsid w:val="00AD23B6"/>
    <w:rsid w:val="00AD3D37"/>
    <w:rsid w:val="00AD53EF"/>
    <w:rsid w:val="00AE1E8A"/>
    <w:rsid w:val="00AE22A1"/>
    <w:rsid w:val="00AE397A"/>
    <w:rsid w:val="00AE3CB2"/>
    <w:rsid w:val="00AE4604"/>
    <w:rsid w:val="00AE653C"/>
    <w:rsid w:val="00AE6788"/>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57F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2EB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9D83F-6818-4345-BCA8-BB490A1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30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308D"/>
    <w:rPr>
      <w:rFonts w:ascii="Calibri" w:hAnsi="Calibri"/>
      <w:szCs w:val="21"/>
    </w:rPr>
  </w:style>
  <w:style w:type="paragraph" w:styleId="NoSpacing">
    <w:name w:val="No Spacing"/>
    <w:uiPriority w:val="1"/>
    <w:qFormat/>
    <w:rsid w:val="0008055F"/>
    <w:pPr>
      <w:spacing w:after="0" w:line="240" w:lineRule="auto"/>
    </w:pPr>
  </w:style>
  <w:style w:type="paragraph" w:styleId="ListParagraph">
    <w:name w:val="List Paragraph"/>
    <w:basedOn w:val="Normal"/>
    <w:uiPriority w:val="34"/>
    <w:qFormat/>
    <w:rsid w:val="00AC429A"/>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AC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4638">
      <w:bodyDiv w:val="1"/>
      <w:marLeft w:val="0"/>
      <w:marRight w:val="0"/>
      <w:marTop w:val="0"/>
      <w:marBottom w:val="0"/>
      <w:divBdr>
        <w:top w:val="none" w:sz="0" w:space="0" w:color="auto"/>
        <w:left w:val="none" w:sz="0" w:space="0" w:color="auto"/>
        <w:bottom w:val="none" w:sz="0" w:space="0" w:color="auto"/>
        <w:right w:val="none" w:sz="0" w:space="0" w:color="auto"/>
      </w:divBdr>
    </w:div>
    <w:div w:id="1205212678">
      <w:bodyDiv w:val="1"/>
      <w:marLeft w:val="0"/>
      <w:marRight w:val="0"/>
      <w:marTop w:val="0"/>
      <w:marBottom w:val="0"/>
      <w:divBdr>
        <w:top w:val="none" w:sz="0" w:space="0" w:color="auto"/>
        <w:left w:val="none" w:sz="0" w:space="0" w:color="auto"/>
        <w:bottom w:val="none" w:sz="0" w:space="0" w:color="auto"/>
        <w:right w:val="none" w:sz="0" w:space="0" w:color="auto"/>
      </w:divBdr>
    </w:div>
    <w:div w:id="21449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8</cp:revision>
  <cp:lastPrinted>2016-08-29T12:40:00Z</cp:lastPrinted>
  <dcterms:created xsi:type="dcterms:W3CDTF">2014-08-28T20:49:00Z</dcterms:created>
  <dcterms:modified xsi:type="dcterms:W3CDTF">2017-01-13T19:52:00Z</dcterms:modified>
</cp:coreProperties>
</file>